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atLeast"/>
        <w:jc w:val="center"/>
        <w:rPr>
          <w:rFonts w:ascii="华文中宋" w:hAnsi="华文中宋" w:eastAsia="华文中宋"/>
          <w:b/>
          <w:color w:val="FF0000"/>
          <w:sz w:val="72"/>
          <w:szCs w:val="72"/>
        </w:rPr>
      </w:pPr>
      <w:r>
        <w:rPr>
          <w:rFonts w:hint="eastAsia" w:ascii="华文中宋" w:hAnsi="华文中宋" w:eastAsia="华文中宋"/>
          <w:b/>
          <w:color w:val="FF0000"/>
          <w:sz w:val="72"/>
          <w:szCs w:val="72"/>
        </w:rPr>
        <w:t>湖南师范大学研究生院</w:t>
      </w:r>
    </w:p>
    <w:p>
      <w:pPr>
        <w:ind w:firstLine="640" w:firstLineChars="200"/>
        <w:jc w:val="center"/>
        <w:rPr>
          <w:rFonts w:ascii="仿宋" w:hAnsi="仿宋" w:eastAsia="仿宋" w:cs="宋体"/>
          <w:kern w:val="0"/>
          <w:sz w:val="32"/>
          <w:szCs w:val="32"/>
        </w:rPr>
      </w:pPr>
      <w:r>
        <w:rPr>
          <w:rFonts w:hint="eastAsia" w:ascii="仿宋" w:hAnsi="仿宋" w:eastAsia="仿宋" w:cs="宋体"/>
          <w:kern w:val="0"/>
          <w:sz w:val="32"/>
          <w:szCs w:val="32"/>
        </w:rPr>
        <w:t>院通﹝2019﹞4号</w:t>
      </w:r>
    </w:p>
    <w:p>
      <w:pPr>
        <w:rPr>
          <w:rFonts w:ascii="宋体" w:hAnsi="宋体"/>
          <w:b/>
          <w:sz w:val="36"/>
          <w:szCs w:val="36"/>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0</wp:posOffset>
                </wp:positionV>
                <wp:extent cx="5309870" cy="0"/>
                <wp:effectExtent l="0" t="13970" r="5080" b="24130"/>
                <wp:wrapNone/>
                <wp:docPr id="1" name="直线 2"/>
                <wp:cNvGraphicFramePr/>
                <a:graphic xmlns:a="http://schemas.openxmlformats.org/drawingml/2006/main">
                  <a:graphicData uri="http://schemas.microsoft.com/office/word/2010/wordprocessingShape">
                    <wps:wsp>
                      <wps:cNvCnPr/>
                      <wps:spPr>
                        <a:xfrm>
                          <a:off x="0" y="0"/>
                          <a:ext cx="530987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4.1pt;margin-top:0pt;height:0pt;width:418.1pt;z-index:251658240;mso-width-relative:page;mso-height-relative:page;" filled="f" stroked="t" coordsize="21600,21600" o:gfxdata="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qy6PNIAAAAEAQAADwAAAAAAAAABACAAAAAiAAAAZHJzL2Rvd25yZXYu&#10;eG1sUEsBAhQAFAAAAAgAh07iQLZLcOzIAQAAggMAAA4AAAAAAAAAAQAgAAAAIQEAAGRycy9lMm9E&#10;b2MueG1sUEsFBgAAAAAGAAYAWQEAAFsFAAAAAA==&#10;">
                <v:fill on="f" focussize="0,0"/>
                <v:stroke weight="2.25pt" color="#FF0000" joinstyle="round"/>
                <v:imagedata o:title=""/>
                <o:lock v:ext="edit" aspectratio="f"/>
              </v:line>
            </w:pict>
          </mc:Fallback>
        </mc:AlternateConten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关于做好2019年上半年研究生学位论文</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相关工作的通知</w:t>
      </w:r>
    </w:p>
    <w:p>
      <w:pPr>
        <w:rPr>
          <w:sz w:val="28"/>
          <w:szCs w:val="28"/>
        </w:rPr>
      </w:pPr>
    </w:p>
    <w:p>
      <w:pPr>
        <w:rPr>
          <w:rFonts w:ascii="仿宋" w:hAnsi="仿宋" w:eastAsia="仿宋" w:cs="宋体"/>
          <w:kern w:val="0"/>
          <w:sz w:val="32"/>
          <w:szCs w:val="32"/>
        </w:rPr>
      </w:pPr>
      <w:r>
        <w:rPr>
          <w:rFonts w:hint="eastAsia" w:ascii="仿宋" w:hAnsi="仿宋" w:eastAsia="仿宋" w:cs="宋体"/>
          <w:kern w:val="0"/>
          <w:sz w:val="32"/>
          <w:szCs w:val="32"/>
        </w:rPr>
        <w:t>各学院：</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根据《湖南师范大学博士、硕士学位授予工作实施细则》等文件的规定和要求，现将2019年上半年研究生</w:t>
      </w:r>
      <w:r>
        <w:rPr>
          <w:rFonts w:hint="eastAsia" w:ascii="仿宋_GB2312" w:hAnsi="宋体" w:eastAsia="仿宋_GB2312" w:cs="宋体"/>
          <w:bCs/>
          <w:color w:val="000000"/>
          <w:kern w:val="0"/>
          <w:sz w:val="32"/>
          <w:szCs w:val="32"/>
        </w:rPr>
        <w:t>学位论文预审、查重、送审、答辩</w:t>
      </w:r>
      <w:r>
        <w:rPr>
          <w:rFonts w:hint="eastAsia" w:ascii="仿宋_GB2312" w:hAnsi="宋体" w:eastAsia="仿宋_GB2312" w:cs="宋体"/>
          <w:color w:val="000000"/>
          <w:kern w:val="0"/>
          <w:sz w:val="32"/>
          <w:szCs w:val="32"/>
        </w:rPr>
        <w:t>等相关工作安排通知如下：</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一、预审工作</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1、预审范围：已通过学位论文开题并完成初稿，拟于2019年上半年申请博士、硕士学位人员的学位论文。</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2、预审时间：</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2019年上半年学位论文预审工作原则上要求在本学期末完成，具体时间由学院安排。学院应尽早通知导师督促学生按要求完成学位论文初稿。</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最迟应于2019年3月</w:t>
      </w:r>
      <w:r>
        <w:rPr>
          <w:rFonts w:ascii="仿宋" w:hAnsi="仿宋" w:eastAsia="仿宋" w:cs="宋体"/>
          <w:kern w:val="0"/>
          <w:sz w:val="32"/>
          <w:szCs w:val="32"/>
        </w:rPr>
        <w:t>10</w:t>
      </w:r>
      <w:r>
        <w:rPr>
          <w:rFonts w:hint="eastAsia" w:ascii="仿宋" w:hAnsi="仿宋" w:eastAsia="仿宋" w:cs="宋体"/>
          <w:kern w:val="0"/>
          <w:sz w:val="32"/>
          <w:szCs w:val="32"/>
        </w:rPr>
        <w:t>号之前将结果录入系统，以免影响接下来的论文送审工作。预审工作未能按时完成的学生不允许进行论文机检、送审和答辩。</w:t>
      </w:r>
    </w:p>
    <w:p>
      <w:pPr>
        <w:numPr>
          <w:ilvl w:val="0"/>
          <w:numId w:val="1"/>
        </w:numPr>
        <w:ind w:firstLine="640" w:firstLineChars="200"/>
        <w:rPr>
          <w:rFonts w:ascii="仿宋" w:hAnsi="仿宋" w:eastAsia="仿宋" w:cs="宋体"/>
          <w:kern w:val="0"/>
          <w:sz w:val="32"/>
          <w:szCs w:val="32"/>
        </w:rPr>
      </w:pPr>
      <w:r>
        <w:rPr>
          <w:rFonts w:hint="eastAsia" w:ascii="仿宋" w:hAnsi="仿宋" w:eastAsia="仿宋" w:cs="宋体"/>
          <w:kern w:val="0"/>
          <w:sz w:val="32"/>
          <w:szCs w:val="32"/>
        </w:rPr>
        <w:t>预审流程：</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研究生在管理信息系统中填写《湖南师范大学研究生学位论文预审申请表》（见附件1，以下简称“预审申请表”），打印后交导师签署意见，由学院统一安排学位论文的预审。学院可在系统中对参加论文预审或预答辩的学生进行分组，并按照分组打印表决票（见附件2）。</w:t>
      </w:r>
    </w:p>
    <w:p>
      <w:pPr>
        <w:rPr>
          <w:rFonts w:ascii="仿宋" w:hAnsi="仿宋" w:eastAsia="仿宋" w:cs="宋体"/>
          <w:kern w:val="0"/>
          <w:sz w:val="32"/>
          <w:szCs w:val="32"/>
        </w:rPr>
      </w:pPr>
      <w:r>
        <w:rPr>
          <w:rFonts w:hint="eastAsia" w:ascii="仿宋" w:hAnsi="仿宋" w:eastAsia="仿宋" w:cs="宋体"/>
          <w:kern w:val="0"/>
          <w:sz w:val="32"/>
          <w:szCs w:val="32"/>
        </w:rPr>
        <w:t xml:space="preserve">    研究生至少应在预审或预答辩前一周向学院提交学位论文，提交的学位论文份数由学院根据组织形式确定。学院应在收齐预审学位论文后及时安排送交预审专家组或预答辩委员会审阅。</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博士学位论文预审按照预答辩方式组织，预答辩委员会由不少于5位同行正高职人员或博士生指导教师组成，设主席1人，原则上由博士研究生指导教师担任。预答辩的组织和程序参照博士学位论文正式答辩进行，预答辩结果须以无记名投票表决方式进行，有三分之二及以上同意票为通过。</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硕士学位论文预审如采用预答辩的方式进行，组织和程序参照硕士学位论文正式答辩进行，答辩委员会由3-7位副高及以上职称人员组成，设主席1人，原则上由正高职人员担任。如采取预审专家组集体审议方式进行，组成人数不得少于3人，预审结果须以无记名投票方式进行表决，有三分之二及以上同意票为通过。</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预答辩委员或者预审专家组对学位论文预审应给出明确审议结果。学院应安排专人负责预审或预答辩报告会情况的记录，并对预审专家组或预答辩委员会的评审意见进行整理，填入“预审申请表”中，同时在“管理系统”中录入结果。</w:t>
      </w:r>
    </w:p>
    <w:p>
      <w:pPr>
        <w:numPr>
          <w:ilvl w:val="0"/>
          <w:numId w:val="1"/>
        </w:numPr>
        <w:ind w:firstLine="640" w:firstLineChars="200"/>
        <w:rPr>
          <w:rFonts w:ascii="仿宋" w:hAnsi="仿宋" w:eastAsia="仿宋" w:cs="宋体"/>
          <w:kern w:val="0"/>
          <w:sz w:val="32"/>
          <w:szCs w:val="32"/>
        </w:rPr>
      </w:pPr>
      <w:r>
        <w:rPr>
          <w:rFonts w:hint="eastAsia" w:ascii="仿宋" w:hAnsi="仿宋" w:eastAsia="仿宋" w:cs="宋体"/>
          <w:kern w:val="0"/>
          <w:sz w:val="32"/>
          <w:szCs w:val="32"/>
        </w:rPr>
        <w:t>预审结果处理</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对于预审结果为“通过”或“修改后通过”的学位论文，导师应按照预答辩委员会或者预审专家组的意见指导学生进行修改；对于预审结果为“不通过”的学位论文，不得进入学位论文机检、送审和答辩环节，其申请人延期至下一批次再重新申请预审。</w:t>
      </w:r>
    </w:p>
    <w:p>
      <w:pPr>
        <w:ind w:firstLine="640" w:firstLineChars="200"/>
        <w:rPr>
          <w:rFonts w:ascii="仿宋" w:hAnsi="仿宋" w:eastAsia="仿宋" w:cs="宋体"/>
          <w:kern w:val="0"/>
          <w:sz w:val="32"/>
          <w:szCs w:val="32"/>
        </w:rPr>
      </w:pPr>
      <w:r>
        <w:rPr>
          <w:rFonts w:hint="eastAsia" w:ascii="黑体" w:hAnsi="黑体" w:eastAsia="黑体" w:cs="宋体"/>
          <w:kern w:val="0"/>
          <w:sz w:val="32"/>
          <w:szCs w:val="32"/>
        </w:rPr>
        <w:t>二、</w:t>
      </w:r>
      <w:r>
        <w:rPr>
          <w:rFonts w:ascii="黑体" w:hAnsi="黑体" w:eastAsia="黑体" w:cs="宋体"/>
          <w:kern w:val="0"/>
          <w:sz w:val="32"/>
          <w:szCs w:val="32"/>
        </w:rPr>
        <w:t>学位论文查重检测</w:t>
      </w:r>
    </w:p>
    <w:p>
      <w:pPr>
        <w:ind w:firstLine="640" w:firstLineChars="200"/>
        <w:rPr>
          <w:rFonts w:hint="eastAsia" w:ascii="仿宋" w:hAnsi="仿宋" w:eastAsia="仿宋" w:cs="宋体"/>
          <w:kern w:val="0"/>
          <w:sz w:val="32"/>
          <w:szCs w:val="32"/>
          <w:lang w:eastAsia="zh-CN"/>
        </w:rPr>
      </w:pPr>
      <w:r>
        <w:rPr>
          <w:rFonts w:ascii="仿宋" w:hAnsi="仿宋" w:eastAsia="仿宋" w:cs="宋体"/>
          <w:kern w:val="0"/>
          <w:sz w:val="32"/>
          <w:szCs w:val="32"/>
        </w:rPr>
        <w:t>学校继续采用</w:t>
      </w:r>
      <w:r>
        <w:rPr>
          <w:rFonts w:hint="eastAsia" w:ascii="仿宋" w:hAnsi="仿宋" w:eastAsia="仿宋" w:cs="宋体"/>
          <w:kern w:val="0"/>
          <w:sz w:val="32"/>
          <w:szCs w:val="32"/>
        </w:rPr>
        <w:t>“研究生学位论文学术不端行为”检测系统对拟申请答辩的论文进行查重检测。经学校学位评定委员会决定，从2</w:t>
      </w:r>
      <w:r>
        <w:rPr>
          <w:rFonts w:ascii="仿宋" w:hAnsi="仿宋" w:eastAsia="仿宋" w:cs="宋体"/>
          <w:kern w:val="0"/>
          <w:sz w:val="32"/>
          <w:szCs w:val="32"/>
        </w:rPr>
        <w:t>019年起</w:t>
      </w:r>
      <w:r>
        <w:rPr>
          <w:rFonts w:hint="eastAsia" w:ascii="仿宋" w:hAnsi="仿宋" w:eastAsia="仿宋" w:cs="宋体"/>
          <w:kern w:val="0"/>
          <w:sz w:val="32"/>
          <w:szCs w:val="32"/>
        </w:rPr>
        <w:t>，</w:t>
      </w:r>
      <w:r>
        <w:rPr>
          <w:rFonts w:ascii="仿宋" w:hAnsi="仿宋" w:eastAsia="仿宋" w:cs="宋体"/>
          <w:kern w:val="0"/>
          <w:sz w:val="32"/>
          <w:szCs w:val="32"/>
        </w:rPr>
        <w:t>学校将对学位论文查重检测文字复制比作出更严格的规定</w:t>
      </w:r>
      <w:r>
        <w:rPr>
          <w:rFonts w:hint="eastAsia" w:ascii="仿宋" w:hAnsi="仿宋" w:eastAsia="仿宋" w:cs="宋体"/>
          <w:kern w:val="0"/>
          <w:sz w:val="32"/>
          <w:szCs w:val="32"/>
        </w:rPr>
        <w:t>。对于文字复制比超过1</w:t>
      </w:r>
      <w:r>
        <w:rPr>
          <w:rFonts w:ascii="仿宋" w:hAnsi="仿宋" w:eastAsia="仿宋" w:cs="宋体"/>
          <w:kern w:val="0"/>
          <w:sz w:val="32"/>
          <w:szCs w:val="32"/>
        </w:rPr>
        <w:t>5</w:t>
      </w:r>
      <w:r>
        <w:rPr>
          <w:rFonts w:hint="eastAsia" w:ascii="仿宋" w:hAnsi="仿宋" w:eastAsia="仿宋" w:cs="宋体"/>
          <w:kern w:val="0"/>
          <w:sz w:val="32"/>
          <w:szCs w:val="32"/>
        </w:rPr>
        <w:t>%</w:t>
      </w:r>
      <w:r>
        <w:rPr>
          <w:rFonts w:ascii="仿宋" w:hAnsi="仿宋" w:eastAsia="仿宋" w:cs="宋体"/>
          <w:kern w:val="0"/>
          <w:sz w:val="32"/>
          <w:szCs w:val="32"/>
        </w:rPr>
        <w:t>的博士硕士学位论文将由学位评定分委员会确定取消送审和答辩资格</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具体操作流程如下：</w:t>
      </w:r>
    </w:p>
    <w:p>
      <w:pPr>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3月1</w:t>
      </w:r>
      <w:r>
        <w:rPr>
          <w:rFonts w:ascii="仿宋" w:hAnsi="仿宋" w:eastAsia="仿宋" w:cs="宋体"/>
          <w:kern w:val="0"/>
          <w:sz w:val="32"/>
          <w:szCs w:val="32"/>
        </w:rPr>
        <w:t>1日</w:t>
      </w:r>
      <w:r>
        <w:rPr>
          <w:rFonts w:hint="eastAsia" w:ascii="仿宋" w:hAnsi="仿宋" w:eastAsia="仿宋" w:cs="宋体"/>
          <w:kern w:val="0"/>
          <w:sz w:val="32"/>
          <w:szCs w:val="32"/>
          <w:lang w:eastAsia="zh-CN"/>
        </w:rPr>
        <w:t>，学生于</w:t>
      </w:r>
      <w:r>
        <w:rPr>
          <w:rFonts w:ascii="仿宋" w:hAnsi="仿宋" w:eastAsia="仿宋" w:cs="宋体"/>
          <w:kern w:val="0"/>
          <w:sz w:val="32"/>
          <w:szCs w:val="32"/>
        </w:rPr>
        <w:t>23</w:t>
      </w:r>
      <w:r>
        <w:rPr>
          <w:rFonts w:hint="eastAsia" w:ascii="仿宋" w:hAnsi="仿宋" w:eastAsia="仿宋" w:cs="宋体"/>
          <w:kern w:val="0"/>
          <w:sz w:val="32"/>
          <w:szCs w:val="32"/>
        </w:rPr>
        <w:t>:5</w:t>
      </w:r>
      <w:r>
        <w:rPr>
          <w:rFonts w:ascii="仿宋" w:hAnsi="仿宋" w:eastAsia="仿宋" w:cs="宋体"/>
          <w:kern w:val="0"/>
          <w:sz w:val="32"/>
          <w:szCs w:val="32"/>
        </w:rPr>
        <w:t>9分前在研究生信息管理系统中提交</w:t>
      </w:r>
      <w:r>
        <w:rPr>
          <w:rFonts w:hint="eastAsia" w:ascii="仿宋" w:hAnsi="仿宋" w:eastAsia="仿宋" w:cs="宋体"/>
          <w:kern w:val="0"/>
          <w:sz w:val="32"/>
          <w:szCs w:val="32"/>
          <w:lang w:eastAsia="zh-CN"/>
        </w:rPr>
        <w:t>机检版</w:t>
      </w:r>
      <w:r>
        <w:rPr>
          <w:rFonts w:ascii="仿宋" w:hAnsi="仿宋" w:eastAsia="仿宋" w:cs="宋体"/>
          <w:kern w:val="0"/>
          <w:sz w:val="32"/>
          <w:szCs w:val="32"/>
        </w:rPr>
        <w:t>论文电子稿</w:t>
      </w:r>
      <w:r>
        <w:rPr>
          <w:rFonts w:hint="eastAsia" w:ascii="仿宋" w:hAnsi="仿宋" w:eastAsia="仿宋" w:cs="宋体"/>
          <w:kern w:val="0"/>
          <w:sz w:val="32"/>
          <w:szCs w:val="32"/>
        </w:rPr>
        <w:t>，逾期不再受理</w:t>
      </w:r>
      <w:r>
        <w:rPr>
          <w:rFonts w:hint="eastAsia" w:ascii="仿宋" w:hAnsi="仿宋" w:eastAsia="仿宋" w:cs="宋体"/>
          <w:kern w:val="0"/>
          <w:sz w:val="32"/>
          <w:szCs w:val="32"/>
          <w:lang w:eastAsia="zh-CN"/>
        </w:rPr>
        <w:t>；</w:t>
      </w:r>
    </w:p>
    <w:p>
      <w:pPr>
        <w:ind w:firstLine="640" w:firstLineChars="200"/>
        <w:rPr>
          <w:rFonts w:hint="eastAsia" w:ascii="仿宋" w:hAnsi="仿宋" w:eastAsia="仿宋" w:cs="宋体"/>
          <w:kern w:val="0"/>
          <w:sz w:val="32"/>
          <w:szCs w:val="32"/>
          <w:lang w:eastAsia="zh-CN"/>
        </w:rPr>
      </w:pPr>
      <w:bookmarkStart w:id="0" w:name="_GoBack"/>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3月1</w:t>
      </w:r>
      <w:r>
        <w:rPr>
          <w:rFonts w:ascii="仿宋" w:hAnsi="仿宋" w:eastAsia="仿宋" w:cs="宋体"/>
          <w:kern w:val="0"/>
          <w:sz w:val="32"/>
          <w:szCs w:val="32"/>
        </w:rPr>
        <w:t>2日</w:t>
      </w:r>
      <w:r>
        <w:rPr>
          <w:rFonts w:hint="eastAsia" w:ascii="仿宋" w:hAnsi="仿宋" w:eastAsia="仿宋" w:cs="宋体"/>
          <w:kern w:val="0"/>
          <w:sz w:val="32"/>
          <w:szCs w:val="32"/>
        </w:rPr>
        <w:t>—1</w:t>
      </w:r>
      <w:r>
        <w:rPr>
          <w:rFonts w:ascii="仿宋" w:hAnsi="仿宋" w:eastAsia="仿宋" w:cs="宋体"/>
          <w:kern w:val="0"/>
          <w:sz w:val="32"/>
          <w:szCs w:val="32"/>
        </w:rPr>
        <w:t>3日</w:t>
      </w:r>
      <w:r>
        <w:rPr>
          <w:rFonts w:hint="eastAsia" w:ascii="仿宋" w:hAnsi="仿宋" w:eastAsia="仿宋" w:cs="宋体"/>
          <w:kern w:val="0"/>
          <w:sz w:val="32"/>
          <w:szCs w:val="32"/>
          <w:lang w:eastAsia="zh-CN"/>
        </w:rPr>
        <w:t>，学院研办对</w:t>
      </w:r>
      <w:r>
        <w:rPr>
          <w:rFonts w:ascii="仿宋" w:hAnsi="仿宋" w:eastAsia="仿宋" w:cs="宋体"/>
          <w:kern w:val="0"/>
          <w:sz w:val="32"/>
          <w:szCs w:val="32"/>
        </w:rPr>
        <w:t>学位论文</w:t>
      </w:r>
      <w:r>
        <w:rPr>
          <w:rFonts w:hint="eastAsia" w:ascii="仿宋" w:hAnsi="仿宋" w:eastAsia="仿宋" w:cs="宋体"/>
          <w:kern w:val="0"/>
          <w:sz w:val="32"/>
          <w:szCs w:val="32"/>
          <w:lang w:eastAsia="zh-CN"/>
        </w:rPr>
        <w:t>进行</w:t>
      </w:r>
      <w:r>
        <w:rPr>
          <w:rFonts w:ascii="仿宋" w:hAnsi="仿宋" w:eastAsia="仿宋" w:cs="宋体"/>
          <w:kern w:val="0"/>
          <w:sz w:val="32"/>
          <w:szCs w:val="32"/>
        </w:rPr>
        <w:t>查重检</w:t>
      </w:r>
      <w:bookmarkEnd w:id="0"/>
      <w:r>
        <w:rPr>
          <w:rFonts w:ascii="仿宋" w:hAnsi="仿宋" w:eastAsia="仿宋" w:cs="宋体"/>
          <w:kern w:val="0"/>
          <w:sz w:val="32"/>
          <w:szCs w:val="32"/>
        </w:rPr>
        <w:t>测</w:t>
      </w:r>
      <w:r>
        <w:rPr>
          <w:rFonts w:hint="eastAsia" w:ascii="仿宋" w:hAnsi="仿宋" w:eastAsia="仿宋" w:cs="宋体"/>
          <w:kern w:val="0"/>
          <w:sz w:val="32"/>
          <w:szCs w:val="32"/>
          <w:lang w:eastAsia="zh-CN"/>
        </w:rPr>
        <w:t>，并将文字复制比报告发送导师；</w:t>
      </w:r>
    </w:p>
    <w:p>
      <w:pPr>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3、3月14日-24日，</w:t>
      </w:r>
      <w:r>
        <w:rPr>
          <w:rFonts w:hint="eastAsia" w:ascii="仿宋" w:hAnsi="仿宋" w:eastAsia="仿宋" w:cs="宋体"/>
          <w:kern w:val="0"/>
          <w:sz w:val="32"/>
          <w:szCs w:val="32"/>
          <w:lang w:eastAsia="zh-CN"/>
        </w:rPr>
        <w:t>导师指导学生修改论文；</w:t>
      </w:r>
    </w:p>
    <w:p>
      <w:pPr>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4、3月25日</w:t>
      </w:r>
      <w:r>
        <w:rPr>
          <w:rFonts w:hint="eastAsia" w:ascii="仿宋_GB2312" w:hAnsi="宋体" w:eastAsia="仿宋_GB2312" w:cs="宋体"/>
          <w:color w:val="000000"/>
          <w:kern w:val="0"/>
          <w:sz w:val="32"/>
          <w:szCs w:val="32"/>
          <w:lang w:val="en-US" w:eastAsia="zh-CN"/>
        </w:rPr>
        <w:t>23:59分前</w:t>
      </w:r>
      <w:r>
        <w:rPr>
          <w:rFonts w:hint="eastAsia" w:ascii="仿宋" w:hAnsi="仿宋" w:eastAsia="仿宋" w:cs="宋体"/>
          <w:kern w:val="0"/>
          <w:sz w:val="32"/>
          <w:szCs w:val="32"/>
          <w:lang w:val="en-US" w:eastAsia="zh-CN"/>
        </w:rPr>
        <w:t>，学生</w:t>
      </w:r>
      <w:r>
        <w:rPr>
          <w:rFonts w:hint="eastAsia" w:ascii="仿宋_GB2312" w:hAnsi="宋体" w:eastAsia="仿宋_GB2312" w:cs="宋体"/>
          <w:color w:val="000000"/>
          <w:kern w:val="0"/>
          <w:sz w:val="32"/>
          <w:szCs w:val="32"/>
          <w:lang w:eastAsia="zh-CN"/>
        </w:rPr>
        <w:t>在研究生信息管理系统中提交盲审版论文，导师在系统中确认是否同意送审。同时学生需提交导师签字同意的</w:t>
      </w:r>
      <w:r>
        <w:rPr>
          <w:rFonts w:hint="eastAsia" w:ascii="仿宋_GB2312" w:hAnsi="宋体" w:eastAsia="仿宋_GB2312" w:cs="宋体"/>
          <w:color w:val="000000"/>
          <w:kern w:val="0"/>
          <w:sz w:val="32"/>
          <w:szCs w:val="32"/>
        </w:rPr>
        <w:t>“学位论文评阅和答辩申请书”</w:t>
      </w:r>
      <w:r>
        <w:rPr>
          <w:rFonts w:hint="eastAsia" w:ascii="仿宋_GB2312" w:hAnsi="宋体" w:eastAsia="仿宋_GB2312" w:cs="宋体"/>
          <w:color w:val="000000"/>
          <w:kern w:val="0"/>
          <w:sz w:val="32"/>
          <w:szCs w:val="32"/>
          <w:lang w:eastAsia="zh-CN"/>
        </w:rPr>
        <w:t>及“导师对论文的学术评语”到学院研办。</w:t>
      </w:r>
    </w:p>
    <w:p>
      <w:pPr>
        <w:numPr>
          <w:ilvl w:val="0"/>
          <w:numId w:val="2"/>
        </w:numPr>
        <w:ind w:firstLine="640" w:firstLineChars="200"/>
        <w:rPr>
          <w:rFonts w:ascii="黑体" w:hAnsi="黑体" w:eastAsia="黑体" w:cs="宋体"/>
          <w:kern w:val="0"/>
          <w:sz w:val="32"/>
          <w:szCs w:val="32"/>
        </w:rPr>
      </w:pPr>
      <w:r>
        <w:rPr>
          <w:rFonts w:hint="eastAsia" w:ascii="黑体" w:hAnsi="黑体" w:eastAsia="黑体" w:cs="宋体"/>
          <w:kern w:val="0"/>
          <w:sz w:val="32"/>
          <w:szCs w:val="32"/>
        </w:rPr>
        <w:t>论文送审</w:t>
      </w:r>
    </w:p>
    <w:p>
      <w:pPr>
        <w:widowControl/>
        <w:shd w:val="clear" w:color="auto" w:fill="FFFFFF"/>
        <w:ind w:firstLine="64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博士学位论文和同等学力学位论文由学校学位办负责</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委托第三方平台组织送审</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其它硕士学位论文由学院研究生工作办公室负责组织</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论文送审采用</w:t>
      </w:r>
      <w:r>
        <w:rPr>
          <w:rFonts w:hint="eastAsia" w:ascii="仿宋_GB2312" w:hAnsi="宋体" w:eastAsia="仿宋_GB2312" w:cs="宋体"/>
          <w:color w:val="000000"/>
          <w:kern w:val="0"/>
          <w:sz w:val="32"/>
          <w:szCs w:val="32"/>
        </w:rPr>
        <w:t>“双盲”送审方式。为保证学位论文按时返回，研究生应于3月2</w:t>
      </w:r>
      <w:r>
        <w:rPr>
          <w:rFonts w:ascii="仿宋_GB2312" w:hAnsi="宋体" w:eastAsia="仿宋_GB2312" w:cs="宋体"/>
          <w:color w:val="000000"/>
          <w:kern w:val="0"/>
          <w:sz w:val="32"/>
          <w:szCs w:val="32"/>
        </w:rPr>
        <w:t>5日前</w:t>
      </w:r>
      <w:r>
        <w:rPr>
          <w:rFonts w:hint="eastAsia" w:ascii="仿宋_GB2312" w:hAnsi="宋体" w:eastAsia="仿宋_GB2312" w:cs="宋体"/>
          <w:color w:val="000000"/>
          <w:kern w:val="0"/>
          <w:sz w:val="32"/>
          <w:szCs w:val="32"/>
        </w:rPr>
        <w:t>提交盲审论文。</w:t>
      </w:r>
    </w:p>
    <w:p>
      <w:pPr>
        <w:widowControl/>
        <w:shd w:val="clear" w:color="auto" w:fill="FFFFFF"/>
        <w:ind w:firstLine="640"/>
        <w:jc w:val="left"/>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为提升学位论文质量</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强化过程管理</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学校将对</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研究生学位论文评阅办法</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进行修订</w:t>
      </w:r>
      <w:r>
        <w:rPr>
          <w:rFonts w:hint="eastAsia" w:ascii="仿宋_GB2312" w:hAnsi="宋体" w:eastAsia="仿宋_GB2312" w:cs="宋体"/>
          <w:color w:val="000000"/>
          <w:kern w:val="0"/>
          <w:sz w:val="32"/>
          <w:szCs w:val="32"/>
        </w:rPr>
        <w:t>，提高评阅标准要求。</w:t>
      </w:r>
    </w:p>
    <w:p>
      <w:pPr>
        <w:numPr>
          <w:ilvl w:val="0"/>
          <w:numId w:val="2"/>
        </w:numPr>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学位论文答辩和学位申请</w:t>
      </w:r>
    </w:p>
    <w:p>
      <w:pPr>
        <w:widowControl/>
        <w:shd w:val="clear" w:color="auto" w:fill="FFFFFF"/>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各学院于5月31日前完成研究生学位论文答辩工作，并于6月5日前将申请授予学位材料（学位评定分委员会学位授予审核报告书、会议记录、学位授予建议名单）报送校学位办。</w:t>
      </w:r>
    </w:p>
    <w:p>
      <w:pPr>
        <w:ind w:firstLine="640" w:firstLineChars="200"/>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附件：1、湖南师范大学研究生学位论文预审申请表</w:t>
      </w:r>
    </w:p>
    <w:p>
      <w:pPr>
        <w:ind w:firstLine="1600" w:firstLineChars="500"/>
        <w:rPr>
          <w:rFonts w:ascii="仿宋" w:hAnsi="仿宋" w:eastAsia="仿宋" w:cs="宋体"/>
          <w:kern w:val="0"/>
          <w:sz w:val="32"/>
          <w:szCs w:val="32"/>
        </w:rPr>
      </w:pPr>
      <w:r>
        <w:rPr>
          <w:rFonts w:hint="eastAsia" w:ascii="仿宋" w:hAnsi="仿宋" w:eastAsia="仿宋" w:cs="宋体"/>
          <w:kern w:val="0"/>
          <w:sz w:val="32"/>
          <w:szCs w:val="32"/>
        </w:rPr>
        <w:t>2、湖南师范大学研究生学位论文预审表决票</w:t>
      </w:r>
    </w:p>
    <w:p>
      <w:pPr>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ind w:right="1120" w:firstLine="1600" w:firstLineChars="500"/>
        <w:jc w:val="right"/>
        <w:rPr>
          <w:rFonts w:ascii="仿宋" w:hAnsi="仿宋" w:eastAsia="仿宋" w:cs="宋体"/>
          <w:kern w:val="0"/>
          <w:sz w:val="32"/>
          <w:szCs w:val="32"/>
        </w:rPr>
      </w:pPr>
      <w:r>
        <w:rPr>
          <w:rFonts w:hint="eastAsia" w:ascii="仿宋" w:hAnsi="仿宋" w:eastAsia="仿宋" w:cs="宋体"/>
          <w:kern w:val="0"/>
          <w:sz w:val="32"/>
          <w:szCs w:val="32"/>
        </w:rPr>
        <w:t>研究生院</w:t>
      </w:r>
    </w:p>
    <w:p>
      <w:pPr>
        <w:ind w:right="480" w:firstLine="1600" w:firstLineChars="500"/>
        <w:jc w:val="right"/>
        <w:rPr>
          <w:rFonts w:ascii="仿宋" w:hAnsi="仿宋" w:eastAsia="仿宋" w:cs="宋体"/>
          <w:kern w:val="0"/>
          <w:sz w:val="32"/>
          <w:szCs w:val="32"/>
        </w:rPr>
      </w:pPr>
      <w:r>
        <w:rPr>
          <w:rFonts w:hint="eastAsia" w:ascii="仿宋" w:hAnsi="仿宋" w:eastAsia="仿宋" w:cs="宋体"/>
          <w:kern w:val="0"/>
          <w:sz w:val="32"/>
          <w:szCs w:val="32"/>
        </w:rPr>
        <w:t>2019年1月17日</w:t>
      </w:r>
    </w:p>
    <w:p>
      <w:pPr>
        <w:rPr>
          <w:rFonts w:ascii="仿宋" w:hAnsi="仿宋" w:eastAsia="仿宋"/>
          <w:sz w:val="32"/>
          <w:szCs w:val="32"/>
        </w:rPr>
        <w:sectPr>
          <w:pgSz w:w="11906" w:h="16838"/>
          <w:pgMar w:top="1440" w:right="1797" w:bottom="1701" w:left="1797" w:header="851" w:footer="992" w:gutter="0"/>
          <w:cols w:space="720" w:num="1"/>
          <w:docGrid w:type="lines" w:linePitch="312" w:charSpace="0"/>
        </w:sectPr>
      </w:pPr>
    </w:p>
    <w:p>
      <w:pPr>
        <w:rPr>
          <w:rFonts w:ascii="宋体" w:hAnsi="宋体"/>
          <w:szCs w:val="21"/>
        </w:rPr>
      </w:pPr>
      <w:r>
        <w:rPr>
          <w:rFonts w:hint="eastAsia" w:ascii="宋体" w:hAnsi="宋体"/>
          <w:szCs w:val="21"/>
        </w:rPr>
        <w:t>附件1</w:t>
      </w:r>
    </w:p>
    <w:p>
      <w:pPr>
        <w:spacing w:after="156" w:afterLines="50"/>
        <w:jc w:val="center"/>
        <w:rPr>
          <w:rFonts w:ascii="华文中宋" w:hAnsi="华文中宋" w:eastAsia="华文中宋"/>
          <w:b/>
          <w:bCs/>
          <w:sz w:val="32"/>
          <w:szCs w:val="32"/>
        </w:rPr>
      </w:pPr>
      <w:r>
        <w:rPr>
          <w:rFonts w:hint="eastAsia" w:ascii="华文中宋" w:hAnsi="华文中宋" w:eastAsia="华文中宋" w:cs="宋体"/>
          <w:b/>
          <w:kern w:val="0"/>
          <w:sz w:val="32"/>
          <w:szCs w:val="32"/>
        </w:rPr>
        <w:t>湖南师范大学博士（硕士）研究生学位论文预审申请表</w:t>
      </w:r>
    </w:p>
    <w:tbl>
      <w:tblPr>
        <w:tblStyle w:val="6"/>
        <w:tblW w:w="8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507"/>
        <w:gridCol w:w="148"/>
        <w:gridCol w:w="2119"/>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691" w:type="dxa"/>
          </w:tcPr>
          <w:p>
            <w:pPr>
              <w:jc w:val="center"/>
              <w:rPr>
                <w:rFonts w:ascii="宋体" w:hAnsi="宋体"/>
                <w:szCs w:val="21"/>
              </w:rPr>
            </w:pPr>
            <w:r>
              <w:rPr>
                <w:rFonts w:hint="eastAsia" w:ascii="宋体" w:hAnsi="宋体"/>
                <w:szCs w:val="21"/>
              </w:rPr>
              <w:t>学院</w:t>
            </w:r>
          </w:p>
        </w:tc>
        <w:tc>
          <w:tcPr>
            <w:tcW w:w="2507" w:type="dxa"/>
          </w:tcPr>
          <w:p>
            <w:pPr>
              <w:jc w:val="center"/>
              <w:rPr>
                <w:rFonts w:ascii="宋体" w:hAnsi="宋体"/>
                <w:szCs w:val="21"/>
              </w:rPr>
            </w:pPr>
          </w:p>
        </w:tc>
        <w:tc>
          <w:tcPr>
            <w:tcW w:w="2267" w:type="dxa"/>
            <w:gridSpan w:val="2"/>
          </w:tcPr>
          <w:p>
            <w:pPr>
              <w:jc w:val="center"/>
              <w:rPr>
                <w:rFonts w:ascii="宋体" w:hAnsi="宋体"/>
                <w:szCs w:val="21"/>
              </w:rPr>
            </w:pPr>
            <w:r>
              <w:rPr>
                <w:rFonts w:hint="eastAsia" w:ascii="宋体" w:hAnsi="宋体"/>
                <w:szCs w:val="21"/>
              </w:rPr>
              <w:t>学号及姓名</w:t>
            </w:r>
          </w:p>
        </w:tc>
        <w:tc>
          <w:tcPr>
            <w:tcW w:w="2227"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691" w:type="dxa"/>
          </w:tcPr>
          <w:p>
            <w:pPr>
              <w:jc w:val="center"/>
              <w:rPr>
                <w:rFonts w:ascii="宋体" w:hAnsi="宋体"/>
                <w:szCs w:val="21"/>
              </w:rPr>
            </w:pPr>
            <w:r>
              <w:rPr>
                <w:rFonts w:hint="eastAsia" w:ascii="宋体" w:hAnsi="宋体"/>
                <w:szCs w:val="21"/>
              </w:rPr>
              <w:t>学科专业</w:t>
            </w:r>
          </w:p>
        </w:tc>
        <w:tc>
          <w:tcPr>
            <w:tcW w:w="2507" w:type="dxa"/>
          </w:tcPr>
          <w:p>
            <w:pPr>
              <w:jc w:val="center"/>
              <w:rPr>
                <w:rFonts w:ascii="宋体" w:hAnsi="宋体"/>
                <w:szCs w:val="21"/>
              </w:rPr>
            </w:pPr>
          </w:p>
        </w:tc>
        <w:tc>
          <w:tcPr>
            <w:tcW w:w="2267" w:type="dxa"/>
            <w:gridSpan w:val="2"/>
          </w:tcPr>
          <w:p>
            <w:pPr>
              <w:jc w:val="center"/>
              <w:rPr>
                <w:rFonts w:ascii="宋体" w:hAnsi="宋体"/>
                <w:szCs w:val="21"/>
              </w:rPr>
            </w:pPr>
            <w:r>
              <w:rPr>
                <w:rFonts w:hint="eastAsia" w:ascii="宋体" w:hAnsi="宋体"/>
                <w:szCs w:val="21"/>
              </w:rPr>
              <w:t>导师姓名</w:t>
            </w:r>
          </w:p>
        </w:tc>
        <w:tc>
          <w:tcPr>
            <w:tcW w:w="2227"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691" w:type="dxa"/>
          </w:tcPr>
          <w:p>
            <w:pPr>
              <w:jc w:val="center"/>
              <w:rPr>
                <w:rFonts w:ascii="宋体" w:hAnsi="宋体"/>
                <w:szCs w:val="21"/>
              </w:rPr>
            </w:pPr>
            <w:r>
              <w:rPr>
                <w:rFonts w:hint="eastAsia" w:ascii="宋体" w:hAnsi="宋体"/>
                <w:szCs w:val="21"/>
              </w:rPr>
              <w:t>开题时间</w:t>
            </w:r>
          </w:p>
        </w:tc>
        <w:tc>
          <w:tcPr>
            <w:tcW w:w="2507" w:type="dxa"/>
          </w:tcPr>
          <w:p>
            <w:pPr>
              <w:jc w:val="center"/>
              <w:rPr>
                <w:rFonts w:ascii="宋体" w:hAnsi="宋体"/>
                <w:szCs w:val="21"/>
              </w:rPr>
            </w:pPr>
          </w:p>
        </w:tc>
        <w:tc>
          <w:tcPr>
            <w:tcW w:w="2267" w:type="dxa"/>
            <w:gridSpan w:val="2"/>
          </w:tcPr>
          <w:p>
            <w:pPr>
              <w:jc w:val="center"/>
              <w:rPr>
                <w:rFonts w:ascii="宋体" w:hAnsi="宋体"/>
                <w:szCs w:val="21"/>
              </w:rPr>
            </w:pPr>
            <w:r>
              <w:rPr>
                <w:rFonts w:hint="eastAsia" w:ascii="宋体" w:hAnsi="宋体"/>
                <w:szCs w:val="21"/>
              </w:rPr>
              <w:t>预审申请时间</w:t>
            </w:r>
          </w:p>
        </w:tc>
        <w:tc>
          <w:tcPr>
            <w:tcW w:w="2227"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691" w:type="dxa"/>
          </w:tcPr>
          <w:p>
            <w:pPr>
              <w:jc w:val="center"/>
              <w:rPr>
                <w:rFonts w:ascii="宋体" w:hAnsi="宋体"/>
                <w:szCs w:val="21"/>
              </w:rPr>
            </w:pPr>
            <w:r>
              <w:rPr>
                <w:rFonts w:hint="eastAsia" w:ascii="宋体" w:hAnsi="宋体"/>
                <w:szCs w:val="21"/>
              </w:rPr>
              <w:t>论文题目</w:t>
            </w:r>
          </w:p>
        </w:tc>
        <w:tc>
          <w:tcPr>
            <w:tcW w:w="7001" w:type="dxa"/>
            <w:gridSpan w:val="4"/>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4" w:hRule="atLeast"/>
          <w:jc w:val="center"/>
        </w:trPr>
        <w:tc>
          <w:tcPr>
            <w:tcW w:w="8692" w:type="dxa"/>
            <w:gridSpan w:val="5"/>
          </w:tcPr>
          <w:p>
            <w:pPr>
              <w:rPr>
                <w:rFonts w:ascii="宋体" w:hAnsi="宋体"/>
                <w:szCs w:val="21"/>
              </w:rPr>
            </w:pPr>
            <w:r>
              <w:rPr>
                <w:rFonts w:hint="eastAsia" w:ascii="宋体" w:hAnsi="宋体"/>
                <w:szCs w:val="21"/>
              </w:rPr>
              <w:t>学位论文内容提要(主要成果和创新点)：</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申请人签名：                                导师签名：  </w:t>
            </w:r>
          </w:p>
          <w:p>
            <w:pPr>
              <w:rPr>
                <w:rFonts w:ascii="宋体" w:hAnsi="宋体"/>
                <w:szCs w:val="21"/>
              </w:rPr>
            </w:pPr>
          </w:p>
          <w:p>
            <w:pPr>
              <w:rPr>
                <w:rFonts w:ascii="宋体" w:hAnsi="宋体"/>
                <w:szCs w:val="21"/>
              </w:rPr>
            </w:pPr>
            <w:r>
              <w:rPr>
                <w:rFonts w:hint="eastAsia" w:ascii="宋体" w:hAnsi="宋体"/>
                <w:szCs w:val="21"/>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9" w:hRule="atLeast"/>
          <w:jc w:val="center"/>
        </w:trPr>
        <w:tc>
          <w:tcPr>
            <w:tcW w:w="8692" w:type="dxa"/>
            <w:gridSpan w:val="5"/>
          </w:tcPr>
          <w:p>
            <w:pPr>
              <w:rPr>
                <w:rFonts w:ascii="宋体" w:hAnsi="宋体"/>
                <w:szCs w:val="21"/>
              </w:rPr>
            </w:pPr>
            <w:r>
              <w:rPr>
                <w:rFonts w:hint="eastAsia" w:ascii="宋体" w:hAnsi="宋体"/>
                <w:szCs w:val="21"/>
              </w:rPr>
              <w:t>预审（预答辩）记录：                                  预审形式：预答辩 □  其他 □</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3150" w:firstLineChars="1500"/>
              <w:rPr>
                <w:rFonts w:ascii="宋体" w:hAnsi="宋体"/>
                <w:szCs w:val="21"/>
              </w:rPr>
            </w:pPr>
            <w:r>
              <w:rPr>
                <w:rFonts w:hint="eastAsia" w:ascii="宋体" w:hAnsi="宋体"/>
                <w:szCs w:val="21"/>
              </w:rPr>
              <w:t>记录人签名：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8692" w:type="dxa"/>
            <w:gridSpan w:val="5"/>
          </w:tcPr>
          <w:p>
            <w:pPr>
              <w:rPr>
                <w:bCs/>
                <w:szCs w:val="21"/>
              </w:rPr>
            </w:pPr>
          </w:p>
          <w:p>
            <w:pPr>
              <w:rPr>
                <w:bCs/>
                <w:szCs w:val="21"/>
              </w:rPr>
            </w:pPr>
            <w:r>
              <w:rPr>
                <w:rFonts w:hint="eastAsia"/>
                <w:bCs/>
                <w:szCs w:val="21"/>
              </w:rPr>
              <w:t>预审（预答辩）结果：通过 □     修改后通过 □     不通过 □</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全体专家签名：</w:t>
            </w:r>
          </w:p>
          <w:p>
            <w:pPr>
              <w:ind w:firstLine="2625" w:firstLineChars="1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4346" w:type="dxa"/>
            <w:gridSpan w:val="3"/>
          </w:tcPr>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r>
              <w:rPr>
                <w:rFonts w:hint="eastAsia" w:ascii="宋体" w:hAnsi="宋体"/>
                <w:szCs w:val="21"/>
              </w:rPr>
              <w:t>学位点负责人签章：</w:t>
            </w:r>
          </w:p>
          <w:p>
            <w:pPr>
              <w:widowControl/>
              <w:jc w:val="left"/>
              <w:rPr>
                <w:rFonts w:ascii="宋体" w:hAnsi="宋体"/>
                <w:szCs w:val="21"/>
              </w:rPr>
            </w:pPr>
          </w:p>
          <w:p>
            <w:pPr>
              <w:rPr>
                <w:rFonts w:ascii="宋体" w:hAnsi="宋体"/>
                <w:szCs w:val="21"/>
              </w:rPr>
            </w:pPr>
          </w:p>
          <w:p>
            <w:pPr>
              <w:jc w:val="right"/>
              <w:rPr>
                <w:bCs/>
                <w:szCs w:val="21"/>
              </w:rPr>
            </w:pPr>
            <w:r>
              <w:rPr>
                <w:rFonts w:hint="eastAsia" w:ascii="宋体" w:hAnsi="宋体"/>
                <w:szCs w:val="21"/>
              </w:rPr>
              <w:t>年    月    日</w:t>
            </w:r>
          </w:p>
        </w:tc>
        <w:tc>
          <w:tcPr>
            <w:tcW w:w="4346" w:type="dxa"/>
            <w:gridSpan w:val="2"/>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widowControl/>
              <w:jc w:val="left"/>
              <w:rPr>
                <w:rFonts w:ascii="宋体" w:hAnsi="宋体"/>
                <w:szCs w:val="21"/>
              </w:rPr>
            </w:pPr>
            <w:r>
              <w:rPr>
                <w:rFonts w:hint="eastAsia" w:ascii="宋体" w:hAnsi="宋体"/>
                <w:szCs w:val="21"/>
              </w:rPr>
              <w:t>学院（签章）：</w:t>
            </w:r>
          </w:p>
          <w:p>
            <w:pPr>
              <w:rPr>
                <w:rFonts w:ascii="宋体" w:hAnsi="宋体"/>
                <w:szCs w:val="21"/>
              </w:rPr>
            </w:pPr>
          </w:p>
          <w:p>
            <w:pPr>
              <w:rPr>
                <w:rFonts w:ascii="宋体" w:hAnsi="宋体"/>
                <w:szCs w:val="21"/>
              </w:rPr>
            </w:pPr>
          </w:p>
          <w:p>
            <w:pPr>
              <w:jc w:val="right"/>
              <w:rPr>
                <w:bCs/>
                <w:szCs w:val="21"/>
              </w:rPr>
            </w:pPr>
            <w:r>
              <w:rPr>
                <w:rFonts w:hint="eastAsia" w:ascii="宋体" w:hAnsi="宋体"/>
                <w:szCs w:val="21"/>
              </w:rPr>
              <w:t>年    月    日</w:t>
            </w:r>
          </w:p>
        </w:tc>
      </w:tr>
    </w:tbl>
    <w:p>
      <w:pPr>
        <w:sectPr>
          <w:pgSz w:w="11906" w:h="16838"/>
          <w:pgMar w:top="1077" w:right="1797" w:bottom="1134" w:left="1797" w:header="851" w:footer="992" w:gutter="0"/>
          <w:cols w:space="720" w:num="1"/>
          <w:docGrid w:type="lines" w:linePitch="312" w:charSpace="0"/>
        </w:sectPr>
      </w:pPr>
      <w:r>
        <w:rPr>
          <w:rFonts w:hint="eastAsia"/>
        </w:rPr>
        <w:t>注：此表双面打印，存入学生业务档案。</w:t>
      </w:r>
    </w:p>
    <w:p>
      <w:pPr>
        <w:rPr>
          <w:rFonts w:ascii="宋体" w:hAnsi="宋体"/>
          <w:bCs/>
          <w:sz w:val="24"/>
        </w:rPr>
      </w:pPr>
      <w:r>
        <w:rPr>
          <w:rFonts w:hint="eastAsia" w:ascii="仿宋_GB2312" w:hAnsi="宋体" w:eastAsia="仿宋_GB2312" w:cs="宋体"/>
          <w:kern w:val="0"/>
          <w:sz w:val="32"/>
          <w:szCs w:val="32"/>
        </w:rPr>
        <w:t xml:space="preserve">   </w:t>
      </w:r>
    </w:p>
    <w:p>
      <w:pPr>
        <w:rPr>
          <w:rFonts w:ascii="宋体" w:hAnsi="宋体"/>
          <w:bCs/>
          <w:sz w:val="24"/>
        </w:rPr>
      </w:pPr>
      <w:r>
        <w:rPr>
          <w:rFonts w:hint="eastAsia" w:ascii="宋体" w:hAnsi="宋体"/>
          <w:bCs/>
          <w:sz w:val="24"/>
        </w:rPr>
        <w:t>附件2：</w:t>
      </w:r>
    </w:p>
    <w:p>
      <w:pPr>
        <w:jc w:val="center"/>
        <w:rPr>
          <w:b/>
          <w:bCs/>
          <w:sz w:val="36"/>
          <w:szCs w:val="36"/>
        </w:rPr>
      </w:pPr>
      <w:r>
        <w:rPr>
          <w:rFonts w:hint="eastAsia"/>
          <w:b/>
          <w:bCs/>
          <w:sz w:val="36"/>
          <w:szCs w:val="36"/>
        </w:rPr>
        <w:t>湖南师范大学研究生学位论文预审表决票</w:t>
      </w:r>
    </w:p>
    <w:p>
      <w:pPr>
        <w:jc w:val="center"/>
        <w:rPr>
          <w:b/>
          <w:bCs/>
          <w:sz w:val="44"/>
          <w:szCs w:val="44"/>
        </w:rPr>
      </w:pPr>
    </w:p>
    <w:p>
      <w:pPr>
        <w:ind w:firstLine="352" w:firstLineChars="147"/>
        <w:rPr>
          <w:bCs/>
          <w:sz w:val="24"/>
        </w:rPr>
      </w:pPr>
      <w:r>
        <w:rPr>
          <w:rFonts w:hint="eastAsia"/>
          <w:bCs/>
          <w:sz w:val="24"/>
        </w:rPr>
        <w:t xml:space="preserve">学院名称：                                                   预审小组名称：      </w:t>
      </w:r>
    </w:p>
    <w:p>
      <w:pPr>
        <w:ind w:firstLine="352" w:firstLineChars="147"/>
        <w:rPr>
          <w:bCs/>
          <w:sz w:val="24"/>
        </w:rPr>
      </w:pPr>
      <w:r>
        <w:rPr>
          <w:rFonts w:hint="eastAsia"/>
          <w:bCs/>
          <w:sz w:val="24"/>
        </w:rPr>
        <w:t>预审形式：                                                   预审小组专家成员：</w:t>
      </w:r>
    </w:p>
    <w:tbl>
      <w:tblPr>
        <w:tblStyle w:val="6"/>
        <w:tblW w:w="14153" w:type="dxa"/>
        <w:tblInd w:w="355" w:type="dxa"/>
        <w:tblLayout w:type="fixed"/>
        <w:tblCellMar>
          <w:top w:w="0" w:type="dxa"/>
          <w:left w:w="108" w:type="dxa"/>
          <w:bottom w:w="0" w:type="dxa"/>
          <w:right w:w="108" w:type="dxa"/>
        </w:tblCellMar>
      </w:tblPr>
      <w:tblGrid>
        <w:gridCol w:w="818"/>
        <w:gridCol w:w="1345"/>
        <w:gridCol w:w="1134"/>
        <w:gridCol w:w="1443"/>
        <w:gridCol w:w="1080"/>
        <w:gridCol w:w="1080"/>
        <w:gridCol w:w="6173"/>
        <w:gridCol w:w="1080"/>
      </w:tblGrid>
      <w:tr>
        <w:tblPrEx>
          <w:tblLayout w:type="fixed"/>
          <w:tblCellMar>
            <w:top w:w="0" w:type="dxa"/>
            <w:left w:w="108" w:type="dxa"/>
            <w:bottom w:w="0" w:type="dxa"/>
            <w:right w:w="108" w:type="dxa"/>
          </w:tblCellMar>
        </w:tblPrEx>
        <w:trPr>
          <w:trHeight w:val="640" w:hRule="atLeast"/>
        </w:trPr>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学号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姓名</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xml:space="preserve">学科专业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学生类别</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导师姓名</w:t>
            </w:r>
          </w:p>
        </w:tc>
        <w:tc>
          <w:tcPr>
            <w:tcW w:w="61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论文题目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表决结果</w:t>
            </w:r>
          </w:p>
        </w:tc>
      </w:tr>
      <w:tr>
        <w:tblPrEx>
          <w:tblLayout w:type="fixed"/>
          <w:tblCellMar>
            <w:top w:w="0" w:type="dxa"/>
            <w:left w:w="108" w:type="dxa"/>
            <w:bottom w:w="0" w:type="dxa"/>
            <w:right w:w="108" w:type="dxa"/>
          </w:tblCellMar>
        </w:tblPrEx>
        <w:trPr>
          <w:trHeight w:val="480" w:hRule="atLeast"/>
        </w:trPr>
        <w:tc>
          <w:tcPr>
            <w:tcW w:w="818"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345"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134"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44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6173" w:type="dxa"/>
            <w:tcBorders>
              <w:top w:val="single" w:color="auto" w:sz="4" w:space="0"/>
              <w:left w:val="single" w:color="auto" w:sz="4" w:space="0"/>
              <w:bottom w:val="single" w:color="auto" w:sz="4" w:space="0"/>
              <w:right w:val="single" w:color="auto" w:sz="4" w:space="0"/>
            </w:tcBorders>
          </w:tcPr>
          <w:p>
            <w:pPr>
              <w:widowControl/>
              <w:rPr>
                <w:kern w:val="0"/>
                <w:szCs w:val="21"/>
              </w:rPr>
            </w:pPr>
          </w:p>
        </w:tc>
        <w:tc>
          <w:tcPr>
            <w:tcW w:w="1080"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818"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345"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134"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44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617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818"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345"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134"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44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617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818"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345"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134"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44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617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818"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345"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134"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44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617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818"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345"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134"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44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617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818"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345"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134"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44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617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r>
      <w:tr>
        <w:tblPrEx>
          <w:tblLayout w:type="fixed"/>
          <w:tblCellMar>
            <w:top w:w="0" w:type="dxa"/>
            <w:left w:w="108" w:type="dxa"/>
            <w:bottom w:w="0" w:type="dxa"/>
            <w:right w:w="108" w:type="dxa"/>
          </w:tblCellMar>
        </w:tblPrEx>
        <w:trPr>
          <w:trHeight w:val="480" w:hRule="atLeast"/>
        </w:trPr>
        <w:tc>
          <w:tcPr>
            <w:tcW w:w="818"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345"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134"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c>
          <w:tcPr>
            <w:tcW w:w="144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p>
        </w:tc>
        <w:tc>
          <w:tcPr>
            <w:tcW w:w="1080"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6173" w:type="dxa"/>
            <w:tcBorders>
              <w:top w:val="single" w:color="auto" w:sz="4" w:space="0"/>
              <w:left w:val="single" w:color="auto" w:sz="4" w:space="0"/>
              <w:bottom w:val="single" w:color="auto" w:sz="4" w:space="0"/>
              <w:right w:val="single" w:color="auto" w:sz="4" w:space="0"/>
            </w:tcBorders>
          </w:tcPr>
          <w:p>
            <w:pPr>
              <w:widowControl/>
              <w:rPr>
                <w:kern w:val="0"/>
                <w:szCs w:val="21"/>
              </w:rPr>
            </w:pPr>
            <w:r>
              <w:rPr>
                <w:kern w:val="0"/>
                <w:szCs w:val="21"/>
              </w:rPr>
              <w:t>　</w:t>
            </w:r>
          </w:p>
        </w:tc>
        <w:tc>
          <w:tcPr>
            <w:tcW w:w="1080" w:type="dxa"/>
            <w:tcBorders>
              <w:top w:val="single" w:color="auto" w:sz="4" w:space="0"/>
              <w:left w:val="nil"/>
              <w:bottom w:val="single" w:color="auto" w:sz="4" w:space="0"/>
              <w:right w:val="single" w:color="auto" w:sz="4" w:space="0"/>
            </w:tcBorders>
          </w:tcPr>
          <w:p>
            <w:pPr>
              <w:widowControl/>
              <w:rPr>
                <w:kern w:val="0"/>
                <w:szCs w:val="21"/>
              </w:rPr>
            </w:pPr>
            <w:r>
              <w:rPr>
                <w:kern w:val="0"/>
                <w:szCs w:val="21"/>
              </w:rPr>
              <w:t>　</w:t>
            </w:r>
          </w:p>
        </w:tc>
      </w:tr>
    </w:tbl>
    <w:p>
      <w:pPr>
        <w:ind w:firstLine="315" w:firstLineChars="150"/>
      </w:pPr>
      <w:r>
        <w:rPr>
          <w:rFonts w:hint="eastAsia"/>
        </w:rPr>
        <w:t>注：同意请在表决结果一栏划“</w:t>
      </w:r>
      <w:r>
        <w:t>O</w:t>
      </w:r>
      <w:r>
        <w:rPr>
          <w:rFonts w:hint="eastAsia"/>
        </w:rPr>
        <w:t>”，不同意划“</w:t>
      </w:r>
      <w:r>
        <w:rPr>
          <w:rFonts w:ascii="宋体" w:hAnsi="宋体"/>
        </w:rPr>
        <w:t>Х</w:t>
      </w:r>
      <w:r>
        <w:rPr>
          <w:rFonts w:hint="eastAsia" w:ascii="宋体" w:hAnsi="宋体"/>
        </w:rPr>
        <w:t>”</w:t>
      </w:r>
      <w:r>
        <w:rPr>
          <w:rFonts w:hint="eastAsia"/>
        </w:rPr>
        <w:t>。</w:t>
      </w:r>
    </w:p>
    <w:p/>
    <w:p>
      <w:pPr>
        <w:rPr>
          <w:sz w:val="24"/>
        </w:rPr>
      </w:pPr>
      <w:r>
        <w:rPr>
          <w:rFonts w:hint="eastAsia"/>
          <w:sz w:val="24"/>
        </w:rPr>
        <w:t xml:space="preserve">  唱票人</w:t>
      </w:r>
      <w:r>
        <w:rPr>
          <w:rFonts w:hint="eastAsia"/>
          <w:sz w:val="24"/>
          <w:u w:val="single"/>
        </w:rPr>
        <w:t xml:space="preserve">           </w:t>
      </w:r>
      <w:r>
        <w:rPr>
          <w:rFonts w:hint="eastAsia"/>
          <w:sz w:val="24"/>
        </w:rPr>
        <w:t xml:space="preserve">       监票人一</w:t>
      </w:r>
      <w:r>
        <w:rPr>
          <w:rFonts w:hint="eastAsia"/>
          <w:sz w:val="24"/>
          <w:u w:val="single"/>
        </w:rPr>
        <w:t xml:space="preserve">           </w:t>
      </w:r>
      <w:r>
        <w:rPr>
          <w:rFonts w:hint="eastAsia"/>
          <w:sz w:val="24"/>
        </w:rPr>
        <w:t xml:space="preserve">  监票人二</w:t>
      </w:r>
      <w:r>
        <w:rPr>
          <w:rFonts w:hint="eastAsia"/>
          <w:sz w:val="24"/>
          <w:u w:val="single"/>
        </w:rPr>
        <w:t xml:space="preserve">           </w:t>
      </w:r>
    </w:p>
    <w:p>
      <w:pPr>
        <w:jc w:val="center"/>
        <w:rPr>
          <w:sz w:val="24"/>
        </w:rPr>
      </w:pPr>
    </w:p>
    <w:p>
      <w:pPr>
        <w:ind w:left="4675" w:right="480"/>
        <w:jc w:val="center"/>
        <w:rPr>
          <w:sz w:val="24"/>
        </w:rPr>
      </w:pPr>
      <w:r>
        <w:rPr>
          <w:rFonts w:hint="eastAsia"/>
          <w:sz w:val="24"/>
        </w:rPr>
        <w:t xml:space="preserve">                                           年   月   日（学院公章）</w:t>
      </w:r>
    </w:p>
    <w:p>
      <w:r>
        <w:rPr>
          <w:rFonts w:hint="eastAsia"/>
        </w:rPr>
        <w:t xml:space="preserve"> </w:t>
      </w:r>
    </w:p>
    <w:p/>
    <w:sectPr>
      <w:pgSz w:w="16838" w:h="11906" w:orient="landscape"/>
      <w:pgMar w:top="1230" w:right="1077" w:bottom="663"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C466B"/>
    <w:multiLevelType w:val="singleLevel"/>
    <w:tmpl w:val="2E4C466B"/>
    <w:lvl w:ilvl="0" w:tentative="0">
      <w:start w:val="3"/>
      <w:numFmt w:val="chineseCounting"/>
      <w:suff w:val="nothing"/>
      <w:lvlText w:val="%1、"/>
      <w:lvlJc w:val="left"/>
      <w:rPr>
        <w:rFonts w:hint="eastAsia"/>
      </w:rPr>
    </w:lvl>
  </w:abstractNum>
  <w:abstractNum w:abstractNumId="1">
    <w:nsid w:val="5B76184D"/>
    <w:multiLevelType w:val="singleLevel"/>
    <w:tmpl w:val="5B76184D"/>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BB"/>
    <w:rsid w:val="000164B7"/>
    <w:rsid w:val="000264FE"/>
    <w:rsid w:val="00033B6C"/>
    <w:rsid w:val="00076EC8"/>
    <w:rsid w:val="000A2EC4"/>
    <w:rsid w:val="000A7705"/>
    <w:rsid w:val="000F3451"/>
    <w:rsid w:val="0011013E"/>
    <w:rsid w:val="00121F49"/>
    <w:rsid w:val="00135D0D"/>
    <w:rsid w:val="002054AE"/>
    <w:rsid w:val="0022426D"/>
    <w:rsid w:val="00225338"/>
    <w:rsid w:val="002F2CF4"/>
    <w:rsid w:val="003348B5"/>
    <w:rsid w:val="00413427"/>
    <w:rsid w:val="004417DB"/>
    <w:rsid w:val="00444B07"/>
    <w:rsid w:val="004726FE"/>
    <w:rsid w:val="00491B2B"/>
    <w:rsid w:val="0049466A"/>
    <w:rsid w:val="004B6930"/>
    <w:rsid w:val="004F7FA5"/>
    <w:rsid w:val="005229A7"/>
    <w:rsid w:val="005639AC"/>
    <w:rsid w:val="005706B5"/>
    <w:rsid w:val="005843FB"/>
    <w:rsid w:val="005A5AA6"/>
    <w:rsid w:val="005E312C"/>
    <w:rsid w:val="005E71EE"/>
    <w:rsid w:val="00606A7A"/>
    <w:rsid w:val="0061060F"/>
    <w:rsid w:val="006141D1"/>
    <w:rsid w:val="00614895"/>
    <w:rsid w:val="006148B2"/>
    <w:rsid w:val="006311AA"/>
    <w:rsid w:val="007144D0"/>
    <w:rsid w:val="00727F3D"/>
    <w:rsid w:val="00775193"/>
    <w:rsid w:val="00796400"/>
    <w:rsid w:val="00797AD9"/>
    <w:rsid w:val="007A0E70"/>
    <w:rsid w:val="007B36DE"/>
    <w:rsid w:val="007C73E4"/>
    <w:rsid w:val="007E34BB"/>
    <w:rsid w:val="008167EA"/>
    <w:rsid w:val="00816D1D"/>
    <w:rsid w:val="00854096"/>
    <w:rsid w:val="00870370"/>
    <w:rsid w:val="00872406"/>
    <w:rsid w:val="008A37AF"/>
    <w:rsid w:val="008C350C"/>
    <w:rsid w:val="008E2E71"/>
    <w:rsid w:val="008E6F6A"/>
    <w:rsid w:val="00925094"/>
    <w:rsid w:val="009676D0"/>
    <w:rsid w:val="0097653E"/>
    <w:rsid w:val="009B3315"/>
    <w:rsid w:val="009B5DB6"/>
    <w:rsid w:val="00A13101"/>
    <w:rsid w:val="00A27049"/>
    <w:rsid w:val="00A9349C"/>
    <w:rsid w:val="00AA5E1C"/>
    <w:rsid w:val="00B1764A"/>
    <w:rsid w:val="00B42DBD"/>
    <w:rsid w:val="00BB1F7B"/>
    <w:rsid w:val="00BC5A51"/>
    <w:rsid w:val="00C125C6"/>
    <w:rsid w:val="00C12B01"/>
    <w:rsid w:val="00C23ECD"/>
    <w:rsid w:val="00C435E3"/>
    <w:rsid w:val="00C9373F"/>
    <w:rsid w:val="00CC2678"/>
    <w:rsid w:val="00D04974"/>
    <w:rsid w:val="00D8414A"/>
    <w:rsid w:val="00E23CB8"/>
    <w:rsid w:val="00E40FAD"/>
    <w:rsid w:val="00E72B36"/>
    <w:rsid w:val="00E8227A"/>
    <w:rsid w:val="00E92CD6"/>
    <w:rsid w:val="00E951BE"/>
    <w:rsid w:val="00EA1C96"/>
    <w:rsid w:val="00ED0EDD"/>
    <w:rsid w:val="00F24384"/>
    <w:rsid w:val="00F6131E"/>
    <w:rsid w:val="00F9382F"/>
    <w:rsid w:val="00FA2A2E"/>
    <w:rsid w:val="00FD2CA0"/>
    <w:rsid w:val="051D1A1D"/>
    <w:rsid w:val="07BA44E4"/>
    <w:rsid w:val="100E02A2"/>
    <w:rsid w:val="165B32AE"/>
    <w:rsid w:val="18192C0F"/>
    <w:rsid w:val="272C353F"/>
    <w:rsid w:val="2F364E38"/>
    <w:rsid w:val="2FF6407F"/>
    <w:rsid w:val="30603621"/>
    <w:rsid w:val="335B0C61"/>
    <w:rsid w:val="42C04B49"/>
    <w:rsid w:val="4C4E4168"/>
    <w:rsid w:val="5CB93E75"/>
    <w:rsid w:val="5E0E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391</Words>
  <Characters>2232</Characters>
  <Lines>18</Lines>
  <Paragraphs>5</Paragraphs>
  <TotalTime>10</TotalTime>
  <ScaleCrop>false</ScaleCrop>
  <LinksUpToDate>false</LinksUpToDate>
  <CharactersWithSpaces>2618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2016-12-23T08:19:00Z</dcterms:created>
  <dc:creator>walkinnet</dc:creator>
  <cp:lastModifiedBy>WPS_129621482</cp:lastModifiedBy>
  <dcterms:modified xsi:type="dcterms:W3CDTF">2019-01-18T01:27:47Z</dcterms:modified>
  <dc:title>处通﹝2013﹞34号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